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08760" cy="15087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lanetnatives_log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08760" cy="1508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320" w:after="100"/>
      </w:pPr>
      <w:r>
        <w:rPr>
          <w:rFonts w:ascii="Aptos" w:hAnsi="Aptos"/>
          <w:b/>
          <w:i w:val="0"/>
          <w:color w:val="101828"/>
          <w:sz w:val="54"/>
        </w:rPr>
        <w:t>BRIEF DO TŁUMACZENIA</w:t>
        <w:br/>
        <w:t>KSIĄŻKI NA ANGIELSKI</w:t>
      </w:r>
    </w:p>
    <w:p>
      <w:r>
        <w:rPr>
          <w:rFonts w:ascii="Aptos" w:hAnsi="Aptos"/>
          <w:b w:val="0"/>
          <w:i w:val="0"/>
          <w:color w:val="1766D5"/>
          <w:sz w:val="24"/>
        </w:rPr>
        <w:t>Dokument roboczy dla autora, wydawcy i zespołu językowego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3381"/>
        <w:gridCol w:w="3381"/>
        <w:gridCol w:w="3381"/>
      </w:tblGrid>
      <w:tr>
        <w:tc>
          <w:tcPr>
            <w:tcW w:type="dxa" w:w="3381"/>
            <w:shd w:fill="EEF5F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5" w:color="CDD9E8"/>
              <w:left w:val="single" w:sz="5" w:color="CDD9E8"/>
              <w:bottom w:val="single" w:sz="5" w:color="CDD9E8"/>
              <w:right w:val="single" w:sz="5" w:color="CDD9E8"/>
            </w:tcBorders>
          </w:tcPr>
          <w:p>
            <w:r>
              <w:rPr>
                <w:rFonts w:ascii="Aptos" w:hAnsi="Aptos"/>
                <w:b/>
                <w:i w:val="0"/>
                <w:color w:val="5F6B7A"/>
                <w:sz w:val="19"/>
              </w:rPr>
              <w:t>Wersja</w:t>
              <w:br/>
            </w:r>
            <w:r>
              <w:rPr>
                <w:rFonts w:ascii="Aptos" w:hAnsi="Aptos"/>
                <w:b w:val="0"/>
                <w:i w:val="0"/>
                <w:color w:val="101828"/>
                <w:sz w:val="21"/>
              </w:rPr>
              <w:t>1.0</w:t>
            </w:r>
          </w:p>
        </w:tc>
        <w:tc>
          <w:tcPr>
            <w:tcW w:type="dxa" w:w="3381"/>
            <w:shd w:fill="EEF5F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5" w:color="CDD9E8"/>
              <w:left w:val="single" w:sz="5" w:color="CDD9E8"/>
              <w:bottom w:val="single" w:sz="5" w:color="CDD9E8"/>
              <w:right w:val="single" w:sz="5" w:color="CDD9E8"/>
            </w:tcBorders>
          </w:tcPr>
          <w:p>
            <w:r>
              <w:rPr>
                <w:rFonts w:ascii="Aptos" w:hAnsi="Aptos"/>
                <w:b/>
                <w:i w:val="0"/>
                <w:color w:val="5F6B7A"/>
                <w:sz w:val="19"/>
              </w:rPr>
              <w:t>Autor instytucjonalny</w:t>
              <w:br/>
            </w:r>
            <w:r>
              <w:rPr>
                <w:rFonts w:ascii="Aptos" w:hAnsi="Aptos"/>
                <w:b w:val="0"/>
                <w:i w:val="0"/>
                <w:color w:val="101828"/>
                <w:sz w:val="21"/>
              </w:rPr>
              <w:t>Planet Natives</w:t>
            </w:r>
          </w:p>
        </w:tc>
        <w:tc>
          <w:tcPr>
            <w:tcW w:type="dxa" w:w="3381"/>
            <w:shd w:fill="EEF5FF"/>
            <w:tcMar>
              <w:top w:w="130" w:type="dxa"/>
              <w:start w:w="120" w:type="dxa"/>
              <w:bottom w:w="130" w:type="dxa"/>
              <w:end w:w="120" w:type="dxa"/>
            </w:tcMar>
            <w:tcBorders>
              <w:top w:val="single" w:sz="5" w:color="CDD9E8"/>
              <w:left w:val="single" w:sz="5" w:color="CDD9E8"/>
              <w:bottom w:val="single" w:sz="5" w:color="CDD9E8"/>
              <w:right w:val="single" w:sz="5" w:color="CDD9E8"/>
            </w:tcBorders>
          </w:tcPr>
          <w:p>
            <w:r>
              <w:rPr>
                <w:rFonts w:ascii="Aptos" w:hAnsi="Aptos"/>
                <w:b/>
                <w:i w:val="0"/>
                <w:color w:val="5F6B7A"/>
                <w:sz w:val="19"/>
              </w:rPr>
              <w:t>Strona</w:t>
              <w:br/>
            </w:r>
            <w:r>
              <w:rPr>
                <w:rFonts w:ascii="Aptos" w:hAnsi="Aptos"/>
                <w:b w:val="0"/>
                <w:i w:val="0"/>
                <w:color w:val="101828"/>
                <w:sz w:val="21"/>
              </w:rPr>
              <w:t>planetnatives.pl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EEF5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CDD9E8"/>
              <w:left w:val="single" w:sz="6" w:color="1766D5"/>
              <w:bottom w:val="single" w:sz="6" w:color="CDD9E8"/>
              <w:right w:val="single" w:sz="6" w:color="CDD9E8"/>
            </w:tcBorders>
          </w:tcPr>
          <w:p>
            <w:r>
              <w:rPr>
                <w:rFonts w:ascii="Aptos" w:hAnsi="Aptos"/>
                <w:b/>
                <w:i w:val="0"/>
                <w:color w:val="1766D5"/>
                <w:sz w:val="20"/>
              </w:rPr>
              <w:t>Jak używać tego briefu</w:t>
            </w:r>
          </w:p>
          <w:p>
            <w:r>
              <w:rPr>
                <w:rFonts w:ascii="Aptos" w:hAnsi="Aptos"/>
                <w:b w:val="0"/>
                <w:i w:val="0"/>
                <w:color w:val="101828"/>
                <w:sz w:val="18"/>
              </w:rPr>
              <w:t>Uzupełnij to, co już wiesz. W pozostałych polach wpisz „do ustalenia”. Brief nie jest egzaminem dla autora. Ma oddzielić fakty, preferencje i decyzje wymagające rekomendacji przed wyceną.</w:t>
            </w:r>
          </w:p>
        </w:tc>
      </w:tr>
    </w:tbl>
    <w:p>
      <w:pPr>
        <w:spacing w:after="40"/>
      </w:pPr>
    </w:p>
    <w:p>
      <w:r>
        <w:rPr>
          <w:rFonts w:ascii="Aptos" w:hAnsi="Aptos"/>
          <w:b/>
          <w:i w:val="0"/>
          <w:color w:val="101828"/>
          <w:sz w:val="24"/>
        </w:rPr>
        <w:t>Najpierw zamknij pięć rzeczy: cel, czytelnika, rynek, zakres i termin.</w:t>
      </w:r>
    </w:p>
    <w:p>
      <w:r>
        <w:rPr>
          <w:rFonts w:ascii="Aptos" w:hAnsi="Aptos"/>
          <w:b w:val="0"/>
          <w:i w:val="0"/>
          <w:color w:val="5F6B7A"/>
          <w:sz w:val="21"/>
        </w:rPr>
        <w:t>Pełny brief ogranicza kosztowne domysły, pozwala porównać oferty według tego samego rezultatu i staje się punktem odniesienia dla próbki, przekładu, editingu oraz finalnych plików.</w:t>
      </w: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01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Właściciel projektu i wersja źródłowa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Autor / właściciel praw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Imię, nazwisko lub nazwa podmiotu.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Osoba decyzyjna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Kto zatwierdza kierunek, pytania i wersję finalną?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Dane kontaktowe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E-mail i telefon osoby prowadzącej projekt.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Roboczy tytuł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Tytuł polski oraz wariant roboczy po angielsku, jeśli istnieje.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Plik będący źródłem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Dokładna nazwa pliku, data i numer wersji.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Stan manuskryptu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Po redakcji, w redakcji, zamknięty, nadal zmieniany.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Objętość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Liczba słów, liczba rozdziałów i materiały dodatkowe.</w:t>
            </w:r>
            <w:r>
              <w:br/>
              <w:br/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02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Cel angielskiej wersji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Najbliższy realny krok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Agent, wydawca, Amazon KDP, sprzedaż praw, konkurs, premiera.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Produkt potrzebny teraz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Próbka, pełny przekład, editing, proofreading, EPUB lub pakiet wydawniczy.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Planowany kanał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Wydawca, self-publishing, Amazon, Apple Books, Kobo, dystrybucja szeroka.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Miernik powodzenia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Co po zakończeniu projektu będzie oznaczało sukces?</w:t>
            </w:r>
            <w:r>
              <w:br/>
              <w:br/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03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Czytelnik, rynek i wariant angielskiego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Główny czytelnik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Wiek, zainteresowania, poziom wiedzy i powód zakupu.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Pierwszy rynek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Wielka Brytania, USA, Kanada, Australia lub inny.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Wariant angielskiego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British, American lub do rekomendacji.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Tytuły porównywalne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2-3 tytuły i jedna ważna różnica względem każdego.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Gatunek i półka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Gdzie czytelnik powinien znaleźć tę książkę?</w:t>
            </w:r>
            <w: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04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Głos, ton i elementy wymagające ochrony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Głos narratora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3-5 cech, na przykład oszczędny, ironiczny, intymny.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Dialogi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Rejestr, tempo, pochodzenie postaci, dialekt, przekleństwa.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Rytm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Krótkie lub rozbudowane zdania, tempo scen, czytanie na głos.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Humor i podtekst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Co powinno zostać odczute, nawet gdy nie jest nazwane wprost?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Elementy nienegocjowalne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Nazwy, cytaty, terminy, realia, wartości, motywy.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Granice ingerencji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Co wolno sygnalizować lub proponować, a co wymaga zgody?</w:t>
            </w:r>
            <w:r>
              <w:br/>
              <w:br/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EEF5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CDD9E8"/>
              <w:left w:val="single" w:sz="6" w:color="1766D5"/>
              <w:bottom w:val="single" w:sz="6" w:color="CDD9E8"/>
              <w:right w:val="single" w:sz="6" w:color="CDD9E8"/>
            </w:tcBorders>
          </w:tcPr>
          <w:p>
            <w:r>
              <w:rPr>
                <w:rFonts w:ascii="Aptos" w:hAnsi="Aptos"/>
                <w:b/>
                <w:i w:val="0"/>
                <w:color w:val="1766D5"/>
                <w:sz w:val="20"/>
              </w:rPr>
              <w:t>Praktyczna wskazówka</w:t>
            </w:r>
          </w:p>
          <w:p>
            <w:r>
              <w:rPr>
                <w:rFonts w:ascii="Aptos" w:hAnsi="Aptos"/>
                <w:b w:val="0"/>
                <w:i w:val="0"/>
                <w:color w:val="101828"/>
                <w:sz w:val="18"/>
              </w:rPr>
              <w:t>Dołącz jeden fragment wzorcowy oraz jeden fragment trudny. Pierwszy pokazuje dominujący głos. Drugi ujawnia ryzyko, które będzie wracać w pełnym manuskrypcie.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05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Materiały referencyjne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"/>
        <w:gridCol w:w="9128"/>
      </w:tblGrid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Synopsis i spis treści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Lista postaci, relacji i wymowy nazw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Chronologia oraz mapa świata lub miejsc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Glosariusz i zatwierdzone nazwy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Fragmenty wzorcowe oraz wcześniejsze tłumaczenia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Źródła cytatów, przypisów i danych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Ilustracje, tabele, podpisy i materiały z okładki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House style wydawcy lub wymagania platformy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Informacja o prawach, licencjach i materiałach osób trzecich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06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Zakres i materiały końcowe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"/>
        <w:gridCol w:w="9128"/>
      </w:tblGrid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Pełny przekład zamkniętego manuskryptu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Rewizja tłumacza i kontrola względem polskiego źródła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Niezależny editing angielskiej prozy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Proofreading po zamknięciu redakcji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Konsultacja angielskiego tytułu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Blurb, synopsis, opis Amazon i biogram autora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EPUB i kontrola finalnego pliku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Materiały do druku i PDF kontrolny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Arkusz stylu i glosariusz przekazywane z projektem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Format źródłowy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DOCX, Google Docs, InDesign, PDF lub inny.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Format odbioru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DOCX clean, track changes, EPUB, PDF, XLSX lub pakiet plików.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Etapy kontroli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Kto wykonuje rewizję, editing, proofreading i QA pliku?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Rundy uwag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Liczba rund, sposób oznaczania zmian i termin odpowiedzi.</w:t>
            </w:r>
            <w: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07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Harmonogram i punkty kontrolne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Termin preferowany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Data pomocna, ale możliwa do zmiany.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Termin nieprzesuwalny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Premiera, nabór, targi, umowa lub kampania.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Pierwszy kamień milowy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Rozdział, partia słów, style sheet lub próbka.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Częstotliwość przekazań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Tygodniowo, po rozdziale, po ustalonej partii.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Czas na odpowiedź autora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Ile dni zespół ma czekać na decyzje?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Bufor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Czas na pytania, poprawki, pliki i nieprzewidziane trudności.</w:t>
            </w:r>
            <w:r>
              <w:br/>
              <w:br/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08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Prawa, poufność i dostęp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"/>
        <w:gridCol w:w="9128"/>
      </w:tblGrid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Prawa do przekładu na wskazany język i terytorium są potwierdzone.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Prawa do ilustracji, cytatów, tabel i materiałów dodatkowych są potwierdzone.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NDA ma zostać podpisane przed przekazaniem pełnego materiału.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Zakres osób mających dostęp do plików jest uzgodniony.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Zasady przechowywania, zwrotu i usuwania plików są uzgodnione.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Credit tłumacza, redaktora i innych współtwórców jest ustalony.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Pola eksploatacji, terytoria i materiały promocyjne są opisane w umowie.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EEF5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CDD9E8"/>
              <w:left w:val="single" w:sz="6" w:color="1766D5"/>
              <w:bottom w:val="single" w:sz="6" w:color="CDD9E8"/>
              <w:right w:val="single" w:sz="6" w:color="CDD9E8"/>
            </w:tcBorders>
          </w:tcPr>
          <w:p>
            <w:r>
              <w:rPr>
                <w:rFonts w:ascii="Aptos" w:hAnsi="Aptos"/>
                <w:b/>
                <w:i w:val="0"/>
                <w:color w:val="1766D5"/>
                <w:sz w:val="20"/>
              </w:rPr>
              <w:t>Ważne</w:t>
            </w:r>
          </w:p>
          <w:p>
            <w:r>
              <w:rPr>
                <w:rFonts w:ascii="Aptos" w:hAnsi="Aptos"/>
                <w:b w:val="0"/>
                <w:i w:val="0"/>
                <w:color w:val="101828"/>
                <w:sz w:val="18"/>
              </w:rPr>
              <w:t>Ten dokument porządkuje projekt, ale nie zastępuje umowy ani porady prawnej. Jeżeli prawa do przekładu wynikają z wcześniejszej umowy wydawniczej, sprawdź ją przed rozpoczęciem pracy.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09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Pytania, które powinny znaleźć odpowiedź w ofercie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"/>
        <w:gridCol w:w="9128"/>
      </w:tblGrid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Za jaki dokładnie rezultat płacę?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Kto wykonuje przekład, editing, proofreading i kontrolę pliku?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Czy wycena opiera się na słowach źródłowych i obejmuje materiały dodatkowe?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Kiedy otrzymam pierwszy fragment i kolejne partie?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Jak prowadzone są pytania, glosariusz, style sheet i wersjonowanie?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Ile rund uwag obejmuje zakres i co uruchamia dodatkową wycenę?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Jakie pliki otrzymam po zakończeniu projektu?</w:t>
            </w:r>
          </w:p>
        </w:tc>
      </w:tr>
      <w:tr>
        <w:tc>
          <w:tcPr>
            <w:tcW w:type="dxa" w:w="510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1766D5"/>
                <w:sz w:val="19"/>
              </w:rPr>
              <w:t>[ ]</w:t>
            </w:r>
          </w:p>
        </w:tc>
        <w:tc>
          <w:tcPr>
            <w:tcW w:type="dxa" w:w="9128"/>
            <w:tcMar>
              <w:top w:w="35" w:type="dxa"/>
              <w:start w:w="120" w:type="dxa"/>
              <w:bottom w:w="35" w:type="dxa"/>
              <w:end w:w="120" w:type="dxa"/>
            </w:tcMar>
            <w:tcBorders>
              <w:bottom w:val="single" w:sz="3" w:color="CDD9E8"/>
            </w:tcBorders>
          </w:tcPr>
          <w:p>
            <w:r>
              <w:rPr>
                <w:rFonts w:ascii="Aptos" w:hAnsi="Aptos"/>
                <w:b w:val="0"/>
                <w:i w:val="0"/>
                <w:color w:val="101828"/>
                <w:sz w:val="19"/>
              </w:rPr>
              <w:t>Jak zostaną zapisane prawa, credit, poufność i odpowiedzialność za wersję finalną?</w:t>
            </w:r>
          </w:p>
        </w:tc>
      </w:tr>
    </w:tbl>
    <w:p>
      <w:pPr>
        <w:spacing w:after="40"/>
      </w:pPr>
    </w:p>
    <w:p>
      <w:r>
        <w:br w:type="page"/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09"/>
        <w:gridCol w:w="8901"/>
      </w:tblGrid>
      <w:tr>
        <w:tc>
          <w:tcPr>
            <w:tcW w:type="dxa" w:w="5071"/>
            <w:shd w:fill="1766D5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i w:val="0"/>
                <w:color w:val="FFFFFF"/>
                <w:sz w:val="20"/>
              </w:rPr>
              <w:t>10</w:t>
            </w:r>
          </w:p>
        </w:tc>
        <w:tc>
          <w:tcPr>
            <w:tcW w:type="dxa" w:w="5071"/>
            <w:shd w:fill="EEF5FF"/>
            <w:tcMar>
              <w:top w:w="120" w:type="dxa"/>
              <w:start w:w="120" w:type="dxa"/>
              <w:bottom w:w="120" w:type="dxa"/>
              <w:end w:w="120" w:type="dxa"/>
            </w:tcMar>
            <w:tcBorders>
              <w:top w:val="single" w:sz="6" w:color="CDD9E8"/>
              <w:left w:val="single" w:sz="6" w:color="CDD9E8"/>
              <w:bottom w:val="single" w:sz="6" w:color="CDD9E8"/>
              <w:right w:val="single" w:sz="6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28"/>
              </w:rPr>
              <w:t>Jednostronicowe podsumowanie do wysłania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3005"/>
        <w:gridCol w:w="6633"/>
      </w:tblGrid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Książka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Tytuł, gatunek, objętość i stan manuskryptu.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Cel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Najbliższy krok po otrzymaniu angielskiej wersji.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Czytelnik i rynek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Główny odbiorca, kraj i kanał dystrybucji.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Najważniejszy efekt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Co angielski czytelnik ma poczuć lub zrozumieć?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Największe ryzyko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Co dosłowny lub niespójny przekład mógłby zepsuć?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Zakres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Etapy i materiały końcowe.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Termin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Preferowany, nieprzesuwalny i pierwszy kamień milowy.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Poufność i prawa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Stan potwierdzenia oraz wymagane dokumenty.</w:t>
            </w:r>
            <w:r>
              <w:br/>
              <w:br/>
            </w:r>
          </w:p>
        </w:tc>
      </w:tr>
      <w:tr>
        <w:tc>
          <w:tcPr>
            <w:tcW w:type="dxa" w:w="3005"/>
            <w:shd w:fill="EEF5FF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/>
                <w:i w:val="0"/>
                <w:color w:val="101828"/>
                <w:sz w:val="19"/>
              </w:rPr>
              <w:t>Do rekomendacji</w:t>
            </w:r>
          </w:p>
        </w:tc>
        <w:tc>
          <w:tcPr>
            <w:tcW w:type="dxa" w:w="6633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val="single" w:sz="4" w:color="CDD9E8"/>
              <w:left w:val="single" w:sz="4" w:color="CDD9E8"/>
              <w:bottom w:val="single" w:sz="4" w:color="CDD9E8"/>
              <w:right w:val="single" w:sz="4" w:color="CDD9E8"/>
            </w:tcBorders>
            <w:vAlign w:val="center"/>
          </w:tcPr>
          <w:p>
            <w:r>
              <w:rPr>
                <w:rFonts w:ascii="Aptos" w:hAnsi="Aptos"/>
                <w:b w:val="0"/>
                <w:i/>
                <w:color w:val="5F6B7A"/>
                <w:sz w:val="18"/>
              </w:rPr>
              <w:t>Decyzje, których wykonawca ma pomóc dokonać.</w:t>
            </w:r>
            <w:r>
              <w:br/>
              <w:br/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142"/>
      </w:tblGrid>
      <w:tr>
        <w:tc>
          <w:tcPr>
            <w:tcW w:type="dxa" w:w="10142"/>
            <w:shd w:fill="EEF5FF"/>
            <w:tcMar>
              <w:top w:w="140" w:type="dxa"/>
              <w:start w:w="180" w:type="dxa"/>
              <w:bottom w:w="140" w:type="dxa"/>
              <w:end w:w="180" w:type="dxa"/>
            </w:tcMar>
            <w:tcBorders>
              <w:top w:val="single" w:sz="6" w:color="CDD9E8"/>
              <w:left w:val="single" w:sz="6" w:color="1766D5"/>
              <w:bottom w:val="single" w:sz="6" w:color="CDD9E8"/>
              <w:right w:val="single" w:sz="6" w:color="CDD9E8"/>
            </w:tcBorders>
          </w:tcPr>
          <w:p>
            <w:r>
              <w:rPr>
                <w:rFonts w:ascii="Aptos" w:hAnsi="Aptos"/>
                <w:b/>
                <w:i w:val="0"/>
                <w:color w:val="1766D5"/>
                <w:sz w:val="20"/>
              </w:rPr>
              <w:t>Następny krok</w:t>
            </w:r>
          </w:p>
          <w:p>
            <w:r>
              <w:rPr>
                <w:rFonts w:ascii="Aptos" w:hAnsi="Aptos"/>
                <w:b w:val="0"/>
                <w:i w:val="0"/>
                <w:color w:val="101828"/>
                <w:sz w:val="18"/>
              </w:rPr>
              <w:t>Po uzupełnieniu briefu wyślij liczbę słów, gatunek, planowany rynek, termin i reprezentatywny fragment. Planet Natives może przygotować rekomendowany zakres i jedną bezpłatną próbkę do 500 słów na projekt. Dla poezji i książek ilustrowanych zakres próbki ustalamy indywidualnie.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10"/>
      <w:headerReference w:type="default" r:id="rId11"/>
      <w:pgSz w:w="12240" w:h="15840"/>
      <w:pgMar w:top="935" w:right="1049" w:bottom="850" w:left="1049" w:header="397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i w:val="0"/>
        <w:color w:val="5F6B7A"/>
        <w:sz w:val="16"/>
      </w:rPr>
      <w:t xml:space="preserve">Planet Natives  |  Brief do tłumaczenia książki  |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i w:val="0"/>
        <w:color w:val="1766D5"/>
        <w:sz w:val="15"/>
      </w:rPr>
      <w:t>PLANET NATIVES  /  WERSJA 1.0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69" w:lineRule="auto"/>
    </w:pPr>
    <w:rPr>
      <w:rFonts w:ascii="Aptos" w:hAnsi="Aptos"/>
      <w:color w:val="10182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footer" Target="footer1.xml"/><Relationship Id="rId1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do tłumaczenia książki na angielski</dc:title>
  <dc:subject>Dokument roboczy dla autora, wydawcy i zespołu językowego</dc:subject>
  <dc:creator>Planet Natives</dc:creator>
  <cp:keywords>tłumaczenie książki, brief tłumaczeniowy, przekład na angielski, Planet Natives</cp:keywords>
  <dc:description>Wersja 1.0. Autor instytucjonalny: Planet Natives.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